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A0416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</w:rPr>
        <w:t>M</w:t>
      </w:r>
      <w:r>
        <w:rPr>
          <w:rFonts w:ascii="Arial" w:hAnsi="Arial"/>
          <w:b/>
          <w:bCs/>
          <w:sz w:val="28"/>
          <w:szCs w:val="28"/>
          <w:lang w:val="pt-PT"/>
        </w:rPr>
        <w:t>aster in European Economic Governance</w:t>
      </w:r>
    </w:p>
    <w:p w14:paraId="3A0B8AFF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V edition </w:t>
      </w:r>
      <w:r>
        <w:rPr>
          <w:rFonts w:ascii="Arial" w:hAnsi="Arial"/>
          <w:b/>
          <w:bCs/>
          <w:sz w:val="28"/>
          <w:szCs w:val="28"/>
        </w:rPr>
        <w:t xml:space="preserve">– </w:t>
      </w:r>
      <w:r>
        <w:rPr>
          <w:rFonts w:ascii="Arial" w:hAnsi="Arial"/>
          <w:b/>
          <w:bCs/>
          <w:sz w:val="28"/>
          <w:szCs w:val="28"/>
        </w:rPr>
        <w:t>A.Y. 20</w:t>
      </w:r>
      <w:r>
        <w:rPr>
          <w:rFonts w:ascii="Arial" w:hAnsi="Arial"/>
          <w:b/>
          <w:bCs/>
          <w:sz w:val="28"/>
          <w:szCs w:val="28"/>
        </w:rPr>
        <w:t>20</w:t>
      </w:r>
      <w:r>
        <w:rPr>
          <w:rFonts w:ascii="Arial" w:hAnsi="Arial"/>
          <w:b/>
          <w:bCs/>
          <w:sz w:val="28"/>
          <w:szCs w:val="28"/>
        </w:rPr>
        <w:t>/202</w:t>
      </w:r>
      <w:r>
        <w:rPr>
          <w:rFonts w:ascii="Arial" w:hAnsi="Arial"/>
          <w:b/>
          <w:bCs/>
          <w:sz w:val="28"/>
          <w:szCs w:val="28"/>
        </w:rPr>
        <w:t>1</w:t>
      </w:r>
    </w:p>
    <w:p w14:paraId="67E02BA8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1DF7AFC3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i/>
          <w:iCs/>
          <w:sz w:val="32"/>
          <w:szCs w:val="32"/>
        </w:rPr>
      </w:pPr>
      <w:r>
        <w:rPr>
          <w:rFonts w:ascii="Arial" w:hAnsi="Arial"/>
          <w:b/>
          <w:bCs/>
          <w:i/>
          <w:iCs/>
          <w:sz w:val="32"/>
          <w:szCs w:val="32"/>
        </w:rPr>
        <w:t>The political economy of the road towards the European Union</w:t>
      </w:r>
    </w:p>
    <w:p w14:paraId="421E9C9D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i/>
          <w:iCs/>
          <w:sz w:val="28"/>
          <w:szCs w:val="28"/>
        </w:rPr>
      </w:pPr>
    </w:p>
    <w:p w14:paraId="2B6B0588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/>
          <w:b/>
          <w:bCs/>
          <w:i/>
          <w:iCs/>
          <w:sz w:val="28"/>
          <w:szCs w:val="28"/>
        </w:rPr>
        <w:t>Seminars by Salvatore Rossi</w:t>
      </w:r>
    </w:p>
    <w:p w14:paraId="43C00BB9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398E7F77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Seminars</w:t>
      </w:r>
      <w:r>
        <w:rPr>
          <w:rFonts w:ascii="Arial" w:hAnsi="Arial"/>
          <w:b/>
          <w:bCs/>
          <w:sz w:val="28"/>
          <w:szCs w:val="28"/>
        </w:rPr>
        <w:t xml:space="preserve">’ </w:t>
      </w:r>
      <w:r>
        <w:rPr>
          <w:rFonts w:ascii="Arial" w:hAnsi="Arial"/>
          <w:b/>
          <w:bCs/>
          <w:sz w:val="28"/>
          <w:szCs w:val="28"/>
        </w:rPr>
        <w:t>objectives</w:t>
      </w:r>
    </w:p>
    <w:p w14:paraId="2ABCC81B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27557F6A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The aim of this series of seminars is to give attendants a flavor of some of the events that have led to the progressive construction so far of the European Union. Both advancements and temporary stops or </w:t>
      </w:r>
      <w:proofErr w:type="spellStart"/>
      <w:r>
        <w:rPr>
          <w:rFonts w:ascii="Arial" w:hAnsi="Arial"/>
          <w:sz w:val="28"/>
          <w:szCs w:val="28"/>
        </w:rPr>
        <w:t>afterthougths</w:t>
      </w:r>
      <w:proofErr w:type="spellEnd"/>
      <w:r>
        <w:rPr>
          <w:rFonts w:ascii="Arial" w:hAnsi="Arial"/>
          <w:sz w:val="28"/>
          <w:szCs w:val="28"/>
        </w:rPr>
        <w:t xml:space="preserve"> will be mentioned. Possible alternati</w:t>
      </w:r>
      <w:r>
        <w:rPr>
          <w:rFonts w:ascii="Arial" w:hAnsi="Arial"/>
          <w:sz w:val="28"/>
          <w:szCs w:val="28"/>
        </w:rPr>
        <w:t xml:space="preserve">ves will be debated. The approach will not be historical nor analytical, rather a view will be offered based on the personal experience of the lecturer as a central banker involved for forty years in the political and institutional negotiations in Europe. </w:t>
      </w:r>
      <w:r>
        <w:rPr>
          <w:rFonts w:ascii="Arial" w:hAnsi="Arial"/>
          <w:sz w:val="28"/>
          <w:szCs w:val="28"/>
        </w:rPr>
        <w:t xml:space="preserve">  </w:t>
      </w:r>
    </w:p>
    <w:p w14:paraId="1605C38D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762BBAFB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lang w:val="pt-PT"/>
        </w:rPr>
        <w:t>Prerequisite</w:t>
      </w:r>
    </w:p>
    <w:p w14:paraId="06B12952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558AE543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Basic knowledge of macroeconomics</w:t>
      </w:r>
    </w:p>
    <w:p w14:paraId="4C8A1734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68A8F3E4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Teaching Method</w:t>
      </w:r>
    </w:p>
    <w:p w14:paraId="34A14F0A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</w:p>
    <w:p w14:paraId="2B620AFA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Lectures and in-class discussions, case studies, role-playing </w:t>
      </w:r>
    </w:p>
    <w:p w14:paraId="6B4BD237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56CC6710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Assessment Method</w:t>
      </w:r>
    </w:p>
    <w:p w14:paraId="7A9ABDFB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1D7738FA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80% written exam and 20% class attendance and active participation</w:t>
      </w:r>
    </w:p>
    <w:p w14:paraId="01D18CCA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5F12DD2D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Extended plan of the series of sem</w:t>
      </w:r>
      <w:r>
        <w:rPr>
          <w:rFonts w:ascii="Arial" w:hAnsi="Arial"/>
          <w:b/>
          <w:bCs/>
          <w:sz w:val="28"/>
          <w:szCs w:val="28"/>
        </w:rPr>
        <w:t>inars and references</w:t>
      </w:r>
    </w:p>
    <w:p w14:paraId="71BBDF3D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>(Seminars will last 2 hours each)</w:t>
      </w:r>
    </w:p>
    <w:p w14:paraId="4F701A79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1AB482C7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Seminar 1</w:t>
      </w:r>
    </w:p>
    <w:p w14:paraId="1A09D893" w14:textId="77777777" w:rsidR="00846A3C" w:rsidRDefault="00846A3C">
      <w:pPr>
        <w:pStyle w:val="Corpo"/>
        <w:spacing w:line="360" w:lineRule="auto"/>
        <w:ind w:left="720"/>
        <w:jc w:val="both"/>
        <w:rPr>
          <w:rFonts w:ascii="Arial" w:eastAsia="Arial" w:hAnsi="Arial" w:cs="Arial"/>
          <w:i/>
          <w:iCs/>
          <w:sz w:val="28"/>
          <w:szCs w:val="28"/>
        </w:rPr>
      </w:pPr>
    </w:p>
    <w:p w14:paraId="06C62F6F" w14:textId="77777777" w:rsidR="00846A3C" w:rsidRDefault="000C5335">
      <w:pPr>
        <w:pStyle w:val="Corpo"/>
        <w:spacing w:line="360" w:lineRule="auto"/>
        <w:ind w:left="720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Topic: Overview of the main building blocks of the European construction in the past 75 years </w:t>
      </w:r>
    </w:p>
    <w:p w14:paraId="7C16795B" w14:textId="77777777" w:rsidR="00846A3C" w:rsidRDefault="00846A3C">
      <w:pPr>
        <w:pStyle w:val="Corpo"/>
        <w:spacing w:line="360" w:lineRule="auto"/>
        <w:ind w:left="720"/>
        <w:jc w:val="both"/>
        <w:rPr>
          <w:rFonts w:ascii="Arial" w:eastAsia="Arial" w:hAnsi="Arial" w:cs="Arial"/>
          <w:i/>
          <w:iCs/>
          <w:sz w:val="28"/>
          <w:szCs w:val="28"/>
        </w:rPr>
      </w:pPr>
    </w:p>
    <w:p w14:paraId="053A9591" w14:textId="77777777" w:rsidR="00846A3C" w:rsidRDefault="000C5335">
      <w:pPr>
        <w:pStyle w:val="Corpo"/>
        <w:spacing w:line="360" w:lineRule="auto"/>
        <w:ind w:left="720"/>
        <w:jc w:val="both"/>
        <w:rPr>
          <w:rStyle w:val="Nessuno"/>
          <w:rFonts w:ascii="Arial" w:eastAsia="Arial" w:hAnsi="Arial" w:cs="Arial"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References</w:t>
      </w:r>
      <w:r>
        <w:rPr>
          <w:rStyle w:val="Nessuno"/>
          <w:rFonts w:ascii="Arial" w:hAnsi="Arial"/>
          <w:sz w:val="28"/>
          <w:szCs w:val="28"/>
        </w:rPr>
        <w:t xml:space="preserve">: </w:t>
      </w:r>
    </w:p>
    <w:p w14:paraId="338898BE" w14:textId="77777777" w:rsidR="00846A3C" w:rsidRDefault="000C5335">
      <w:pPr>
        <w:pStyle w:val="Corpo"/>
        <w:numPr>
          <w:ilvl w:val="1"/>
          <w:numId w:val="2"/>
        </w:numPr>
        <w:spacing w:line="360" w:lineRule="auto"/>
        <w:jc w:val="both"/>
        <w:rPr>
          <w:rFonts w:ascii="Arial" w:hAnsi="Arial"/>
          <w:i/>
          <w:iCs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t xml:space="preserve">European Economic Advisory Group (EEAG), </w:t>
      </w:r>
      <w:r>
        <w:rPr>
          <w:rStyle w:val="Nessuno"/>
          <w:rFonts w:ascii="Arial" w:hAnsi="Arial"/>
          <w:sz w:val="28"/>
          <w:szCs w:val="28"/>
          <w:rtl/>
          <w:lang w:val="ar-SA"/>
        </w:rPr>
        <w:t>“</w:t>
      </w:r>
      <w:r>
        <w:rPr>
          <w:rStyle w:val="Nessuno"/>
          <w:rFonts w:ascii="Arial" w:hAnsi="Arial"/>
          <w:sz w:val="28"/>
          <w:szCs w:val="28"/>
        </w:rPr>
        <w:t xml:space="preserve">Report on the      European Economy: </w:t>
      </w:r>
      <w:proofErr w:type="gramStart"/>
      <w:r>
        <w:rPr>
          <w:rStyle w:val="Nessuno"/>
          <w:rFonts w:ascii="Arial" w:hAnsi="Arial"/>
          <w:sz w:val="28"/>
          <w:szCs w:val="28"/>
        </w:rPr>
        <w:t>a</w:t>
      </w:r>
      <w:proofErr w:type="gramEnd"/>
      <w:r>
        <w:rPr>
          <w:rStyle w:val="Nessuno"/>
          <w:rFonts w:ascii="Arial" w:hAnsi="Arial"/>
          <w:sz w:val="28"/>
          <w:szCs w:val="28"/>
        </w:rPr>
        <w:t xml:space="preserve"> Fragmenting Europe in a Changing World</w:t>
      </w:r>
      <w:r>
        <w:rPr>
          <w:rStyle w:val="Nessuno"/>
          <w:rFonts w:ascii="Arial" w:hAnsi="Arial"/>
          <w:sz w:val="28"/>
          <w:szCs w:val="28"/>
        </w:rPr>
        <w:t>”</w:t>
      </w:r>
      <w:r>
        <w:rPr>
          <w:rStyle w:val="Nessuno"/>
          <w:rFonts w:ascii="Arial" w:hAnsi="Arial"/>
          <w:sz w:val="28"/>
          <w:szCs w:val="28"/>
          <w:lang w:val="pt-PT"/>
        </w:rPr>
        <w:t>, CESifo Group, 2019</w:t>
      </w:r>
    </w:p>
    <w:p w14:paraId="1A588C4A" w14:textId="77777777" w:rsidR="00846A3C" w:rsidRDefault="000C5335">
      <w:pPr>
        <w:pStyle w:val="Corpo"/>
        <w:numPr>
          <w:ilvl w:val="1"/>
          <w:numId w:val="2"/>
        </w:numPr>
        <w:spacing w:line="360" w:lineRule="auto"/>
        <w:jc w:val="both"/>
        <w:rPr>
          <w:rFonts w:ascii="Arial" w:hAnsi="Arial"/>
          <w:i/>
          <w:iCs/>
          <w:sz w:val="28"/>
          <w:szCs w:val="28"/>
          <w:lang w:val="de-DE"/>
        </w:rPr>
      </w:pPr>
      <w:r w:rsidRPr="00C777E5">
        <w:rPr>
          <w:rStyle w:val="Nessuno"/>
          <w:rFonts w:ascii="Arial" w:hAnsi="Arial"/>
          <w:sz w:val="28"/>
          <w:szCs w:val="28"/>
        </w:rPr>
        <w:t xml:space="preserve">Weiler, J.H.H, </w:t>
      </w:r>
      <w:r>
        <w:rPr>
          <w:rStyle w:val="Nessuno"/>
          <w:rFonts w:ascii="Arial" w:hAnsi="Arial"/>
          <w:sz w:val="28"/>
          <w:szCs w:val="28"/>
          <w:rtl/>
          <w:lang w:val="ar-SA"/>
        </w:rPr>
        <w:t>“</w:t>
      </w:r>
      <w:r>
        <w:rPr>
          <w:rStyle w:val="Nessuno"/>
          <w:rFonts w:ascii="Arial" w:hAnsi="Arial"/>
          <w:sz w:val="28"/>
          <w:szCs w:val="28"/>
        </w:rPr>
        <w:t>The Political and Legal Culture of European Integration. An Exploratory Essay</w:t>
      </w:r>
      <w:r>
        <w:rPr>
          <w:rStyle w:val="Nessuno"/>
          <w:rFonts w:ascii="Arial" w:hAnsi="Arial"/>
          <w:sz w:val="28"/>
          <w:szCs w:val="28"/>
        </w:rPr>
        <w:t>”</w:t>
      </w:r>
      <w:r>
        <w:rPr>
          <w:rStyle w:val="Nessuno"/>
          <w:rFonts w:ascii="Arial" w:hAnsi="Arial"/>
          <w:sz w:val="28"/>
          <w:szCs w:val="28"/>
        </w:rPr>
        <w:t>, International Journ</w:t>
      </w:r>
      <w:r>
        <w:rPr>
          <w:rStyle w:val="Nessuno"/>
          <w:rFonts w:ascii="Arial" w:hAnsi="Arial"/>
          <w:sz w:val="28"/>
          <w:szCs w:val="28"/>
        </w:rPr>
        <w:t>al of Constitutional Law, Oxford, 2011</w:t>
      </w:r>
    </w:p>
    <w:p w14:paraId="520AAF80" w14:textId="77777777" w:rsidR="00846A3C" w:rsidRDefault="00846A3C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sz w:val="28"/>
          <w:szCs w:val="28"/>
        </w:rPr>
      </w:pPr>
    </w:p>
    <w:p w14:paraId="7EFB9950" w14:textId="77777777" w:rsidR="00846A3C" w:rsidRDefault="000C5335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b/>
          <w:bCs/>
          <w:sz w:val="28"/>
          <w:szCs w:val="28"/>
        </w:rPr>
      </w:pPr>
      <w:r>
        <w:rPr>
          <w:rStyle w:val="Nessuno"/>
          <w:rFonts w:ascii="Arial" w:hAnsi="Arial"/>
          <w:b/>
          <w:bCs/>
          <w:sz w:val="28"/>
          <w:szCs w:val="28"/>
        </w:rPr>
        <w:t>Seminar 2</w:t>
      </w:r>
    </w:p>
    <w:p w14:paraId="15358DC6" w14:textId="77777777" w:rsidR="00846A3C" w:rsidRDefault="00846A3C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sz w:val="28"/>
          <w:szCs w:val="28"/>
        </w:rPr>
      </w:pPr>
    </w:p>
    <w:p w14:paraId="428C9436" w14:textId="77777777" w:rsidR="00846A3C" w:rsidRDefault="000C5335">
      <w:pPr>
        <w:pStyle w:val="Corpo"/>
        <w:spacing w:line="360" w:lineRule="auto"/>
        <w:ind w:left="720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Topic: The Maastricht Treaty</w:t>
      </w:r>
    </w:p>
    <w:p w14:paraId="261EA6B2" w14:textId="77777777" w:rsidR="00846A3C" w:rsidRDefault="00846A3C">
      <w:pPr>
        <w:pStyle w:val="Corpo"/>
        <w:spacing w:line="360" w:lineRule="auto"/>
        <w:ind w:left="720"/>
        <w:jc w:val="both"/>
        <w:rPr>
          <w:rFonts w:ascii="Arial" w:eastAsia="Arial" w:hAnsi="Arial" w:cs="Arial"/>
          <w:i/>
          <w:iCs/>
          <w:sz w:val="28"/>
          <w:szCs w:val="28"/>
        </w:rPr>
      </w:pPr>
    </w:p>
    <w:p w14:paraId="00EDD4A8" w14:textId="77777777" w:rsidR="00846A3C" w:rsidRDefault="000C5335">
      <w:pPr>
        <w:pStyle w:val="Corpo"/>
        <w:spacing w:line="360" w:lineRule="auto"/>
        <w:ind w:left="720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References: </w:t>
      </w:r>
    </w:p>
    <w:p w14:paraId="3F03EA47" w14:textId="77777777" w:rsidR="00846A3C" w:rsidRDefault="000C5335">
      <w:pPr>
        <w:pStyle w:val="Corpo"/>
        <w:numPr>
          <w:ilvl w:val="0"/>
          <w:numId w:val="3"/>
        </w:numPr>
        <w:spacing w:line="360" w:lineRule="auto"/>
        <w:jc w:val="both"/>
        <w:rPr>
          <w:rFonts w:ascii="Arial" w:hAnsi="Arial"/>
          <w:i/>
          <w:iCs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t xml:space="preserve">T. </w:t>
      </w:r>
      <w:proofErr w:type="spellStart"/>
      <w:r>
        <w:rPr>
          <w:rStyle w:val="Nessuno"/>
          <w:rFonts w:ascii="Arial" w:hAnsi="Arial"/>
          <w:sz w:val="28"/>
          <w:szCs w:val="28"/>
        </w:rPr>
        <w:t>Padoa-Schioppa</w:t>
      </w:r>
      <w:proofErr w:type="spellEnd"/>
      <w:r>
        <w:rPr>
          <w:rStyle w:val="Nessuno"/>
          <w:rFonts w:ascii="Arial" w:hAnsi="Arial"/>
          <w:sz w:val="28"/>
          <w:szCs w:val="28"/>
        </w:rPr>
        <w:t>, The Road to Monetary Union in Europe, Clarendon Press, 1994</w:t>
      </w:r>
    </w:p>
    <w:p w14:paraId="143F76F2" w14:textId="77777777" w:rsidR="00846A3C" w:rsidRDefault="000C5335">
      <w:pPr>
        <w:pStyle w:val="Corpo"/>
        <w:numPr>
          <w:ilvl w:val="0"/>
          <w:numId w:val="3"/>
        </w:numPr>
        <w:spacing w:line="360" w:lineRule="auto"/>
        <w:jc w:val="both"/>
        <w:rPr>
          <w:rFonts w:ascii="Arial" w:hAnsi="Arial"/>
          <w:i/>
          <w:iCs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t xml:space="preserve">M. Draghi, </w:t>
      </w:r>
      <w:r>
        <w:rPr>
          <w:rStyle w:val="Nessuno"/>
          <w:rFonts w:ascii="Arial" w:hAnsi="Arial"/>
          <w:sz w:val="28"/>
          <w:szCs w:val="28"/>
          <w:rtl/>
          <w:lang w:val="ar-SA"/>
        </w:rPr>
        <w:t>“</w:t>
      </w:r>
      <w:r>
        <w:rPr>
          <w:rStyle w:val="Nessuno"/>
          <w:rFonts w:ascii="Arial" w:hAnsi="Arial"/>
          <w:sz w:val="28"/>
          <w:szCs w:val="28"/>
        </w:rPr>
        <w:t>Europe and the Euro: Twenty Years on</w:t>
      </w:r>
      <w:r>
        <w:rPr>
          <w:rStyle w:val="Nessuno"/>
          <w:rFonts w:ascii="Arial" w:hAnsi="Arial"/>
          <w:sz w:val="28"/>
          <w:szCs w:val="28"/>
        </w:rPr>
        <w:t>”</w:t>
      </w:r>
      <w:r>
        <w:rPr>
          <w:rStyle w:val="Nessuno"/>
          <w:rFonts w:ascii="Arial" w:hAnsi="Arial"/>
          <w:sz w:val="28"/>
          <w:szCs w:val="28"/>
        </w:rPr>
        <w:t xml:space="preserve">, 2018, </w:t>
      </w:r>
      <w:r>
        <w:rPr>
          <w:rStyle w:val="Nessuno"/>
          <w:rFonts w:ascii="Arial" w:hAnsi="Arial"/>
          <w:sz w:val="28"/>
          <w:szCs w:val="28"/>
        </w:rPr>
        <w:t>https://www.ecb.europa.eu/press/key/date/2018/html/ecb.sp1812 15.en.html</w:t>
      </w:r>
    </w:p>
    <w:p w14:paraId="61C2D5FD" w14:textId="77777777" w:rsidR="00846A3C" w:rsidRDefault="00846A3C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sz w:val="28"/>
          <w:szCs w:val="28"/>
        </w:rPr>
      </w:pPr>
    </w:p>
    <w:p w14:paraId="0A982DF8" w14:textId="77777777" w:rsidR="00846A3C" w:rsidRDefault="00846A3C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sz w:val="28"/>
          <w:szCs w:val="28"/>
        </w:rPr>
      </w:pPr>
    </w:p>
    <w:p w14:paraId="0B283B85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  <w:r>
        <w:rPr>
          <w:rStyle w:val="Nessuno"/>
          <w:rFonts w:ascii="Arial" w:hAnsi="Arial"/>
          <w:b/>
          <w:bCs/>
          <w:sz w:val="28"/>
          <w:szCs w:val="28"/>
        </w:rPr>
        <w:t>Seminar 3</w:t>
      </w:r>
    </w:p>
    <w:p w14:paraId="2180082D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47C67C4A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lastRenderedPageBreak/>
        <w:t xml:space="preserve">         Topic: The Banking Union</w:t>
      </w:r>
    </w:p>
    <w:p w14:paraId="249B09D6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</w:p>
    <w:p w14:paraId="6AD5203F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         References:</w:t>
      </w:r>
    </w:p>
    <w:p w14:paraId="0D42F1FF" w14:textId="77777777" w:rsidR="00846A3C" w:rsidRDefault="000C5335">
      <w:pPr>
        <w:pStyle w:val="Corpo"/>
        <w:numPr>
          <w:ilvl w:val="0"/>
          <w:numId w:val="4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S. Rossi, Banking Union: </w:t>
      </w:r>
      <w:r>
        <w:rPr>
          <w:rFonts w:ascii="Arial" w:hAnsi="Arial"/>
          <w:sz w:val="28"/>
          <w:szCs w:val="28"/>
          <w:rtl/>
          <w:lang w:val="ar-SA"/>
        </w:rPr>
        <w:t>“</w:t>
      </w:r>
      <w:r>
        <w:rPr>
          <w:rFonts w:ascii="Arial" w:hAnsi="Arial"/>
          <w:sz w:val="28"/>
          <w:szCs w:val="28"/>
        </w:rPr>
        <w:t>Experience so far and Future Prospects</w:t>
      </w:r>
      <w:r>
        <w:rPr>
          <w:rFonts w:ascii="Arial" w:hAnsi="Arial"/>
          <w:sz w:val="28"/>
          <w:szCs w:val="28"/>
        </w:rPr>
        <w:t>”</w:t>
      </w:r>
      <w:r>
        <w:rPr>
          <w:rFonts w:ascii="Arial" w:hAnsi="Arial"/>
          <w:sz w:val="28"/>
          <w:szCs w:val="28"/>
        </w:rPr>
        <w:t xml:space="preserve">, 2018, </w:t>
      </w:r>
      <w:r w:rsidRPr="00C777E5">
        <w:rPr>
          <w:rStyle w:val="Nessuno"/>
          <w:rFonts w:ascii="Arial" w:hAnsi="Arial"/>
          <w:i/>
          <w:iCs/>
          <w:sz w:val="28"/>
          <w:szCs w:val="28"/>
          <w:u w:val="single"/>
        </w:rPr>
        <w:t>https://www.bancaditalia.it/pubblicazioni/interventi-direttorio/int-dir-2018/rossi-30.08.2018-en.pdf?language_id=1</w:t>
      </w:r>
    </w:p>
    <w:p w14:paraId="5C4A86B2" w14:textId="77777777" w:rsidR="00846A3C" w:rsidRPr="00C777E5" w:rsidRDefault="000C5335">
      <w:pPr>
        <w:pStyle w:val="Corpo"/>
        <w:numPr>
          <w:ilvl w:val="0"/>
          <w:numId w:val="4"/>
        </w:numPr>
        <w:spacing w:line="360" w:lineRule="auto"/>
        <w:jc w:val="both"/>
        <w:rPr>
          <w:rFonts w:ascii="Arial" w:hAnsi="Arial"/>
          <w:sz w:val="28"/>
          <w:szCs w:val="28"/>
        </w:rPr>
      </w:pPr>
      <w:r w:rsidRPr="00C777E5">
        <w:rPr>
          <w:rFonts w:ascii="Arial" w:hAnsi="Arial"/>
          <w:sz w:val="28"/>
          <w:szCs w:val="28"/>
        </w:rPr>
        <w:t xml:space="preserve">European Commission, </w:t>
      </w:r>
      <w:r>
        <w:rPr>
          <w:rFonts w:ascii="Arial" w:hAnsi="Arial"/>
          <w:sz w:val="28"/>
          <w:szCs w:val="28"/>
          <w:rtl/>
          <w:lang w:val="ar-SA"/>
        </w:rPr>
        <w:t>“</w:t>
      </w:r>
      <w:r>
        <w:rPr>
          <w:rFonts w:ascii="Arial" w:hAnsi="Arial"/>
          <w:sz w:val="28"/>
          <w:szCs w:val="28"/>
        </w:rPr>
        <w:t>The Five Presidents</w:t>
      </w:r>
      <w:r>
        <w:rPr>
          <w:rFonts w:ascii="Arial" w:hAnsi="Arial"/>
          <w:sz w:val="28"/>
          <w:szCs w:val="28"/>
          <w:rtl/>
        </w:rPr>
        <w:t xml:space="preserve">’ </w:t>
      </w:r>
      <w:r>
        <w:rPr>
          <w:rFonts w:ascii="Arial" w:hAnsi="Arial"/>
          <w:sz w:val="28"/>
          <w:szCs w:val="28"/>
        </w:rPr>
        <w:t>Report: Completing Europe</w:t>
      </w:r>
      <w:r>
        <w:rPr>
          <w:rFonts w:ascii="Arial" w:hAnsi="Arial"/>
          <w:sz w:val="28"/>
          <w:szCs w:val="28"/>
          <w:rtl/>
        </w:rPr>
        <w:t>’</w:t>
      </w:r>
      <w:r>
        <w:rPr>
          <w:rFonts w:ascii="Arial" w:hAnsi="Arial"/>
          <w:sz w:val="28"/>
          <w:szCs w:val="28"/>
        </w:rPr>
        <w:t>s Economic and Monetary Union</w:t>
      </w:r>
      <w:r>
        <w:rPr>
          <w:rFonts w:ascii="Arial" w:hAnsi="Arial"/>
          <w:sz w:val="28"/>
          <w:szCs w:val="28"/>
        </w:rPr>
        <w:t>”</w:t>
      </w:r>
      <w:r>
        <w:rPr>
          <w:rFonts w:ascii="Arial" w:hAnsi="Arial"/>
          <w:sz w:val="28"/>
          <w:szCs w:val="28"/>
        </w:rPr>
        <w:t xml:space="preserve">, 2015, </w:t>
      </w:r>
      <w:r>
        <w:rPr>
          <w:rStyle w:val="Nessuno"/>
          <w:rFonts w:ascii="Arial" w:hAnsi="Arial"/>
          <w:i/>
          <w:iCs/>
          <w:sz w:val="28"/>
          <w:szCs w:val="28"/>
          <w:u w:val="single"/>
        </w:rPr>
        <w:t>https://ec.europa.eu/commission/pu</w:t>
      </w:r>
      <w:r>
        <w:rPr>
          <w:rStyle w:val="Nessuno"/>
          <w:rFonts w:ascii="Arial" w:hAnsi="Arial"/>
          <w:i/>
          <w:iCs/>
          <w:sz w:val="28"/>
          <w:szCs w:val="28"/>
          <w:u w:val="single"/>
        </w:rPr>
        <w:t>blications/five-presidents-report-completing-europes-economic-and-monetary-union_en</w:t>
      </w:r>
    </w:p>
    <w:p w14:paraId="321E4A4F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4F1584E7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Seminar 4</w:t>
      </w:r>
    </w:p>
    <w:p w14:paraId="07986159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7BDB351F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    Topic: The real convergence in Europe and the Capital Markets Union project</w:t>
      </w:r>
    </w:p>
    <w:p w14:paraId="2391E365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</w:p>
    <w:p w14:paraId="2ECD5A5B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         References:</w:t>
      </w:r>
    </w:p>
    <w:p w14:paraId="17102589" w14:textId="77777777" w:rsidR="00846A3C" w:rsidRPr="00C777E5" w:rsidRDefault="000C5335">
      <w:pPr>
        <w:pStyle w:val="Corpo"/>
        <w:numPr>
          <w:ilvl w:val="0"/>
          <w:numId w:val="4"/>
        </w:numPr>
        <w:spacing w:line="360" w:lineRule="auto"/>
        <w:jc w:val="both"/>
        <w:rPr>
          <w:rFonts w:ascii="Arial" w:hAnsi="Arial"/>
          <w:sz w:val="28"/>
          <w:szCs w:val="28"/>
        </w:rPr>
      </w:pPr>
      <w:r w:rsidRPr="00C777E5">
        <w:rPr>
          <w:rFonts w:ascii="Arial" w:hAnsi="Arial"/>
          <w:sz w:val="28"/>
          <w:szCs w:val="28"/>
        </w:rPr>
        <w:t xml:space="preserve">M. Buti, A. Turrini, 2015, </w:t>
      </w:r>
      <w:r>
        <w:rPr>
          <w:rFonts w:ascii="Arial" w:hAnsi="Arial"/>
          <w:sz w:val="28"/>
          <w:szCs w:val="28"/>
          <w:rtl/>
          <w:lang w:val="ar-SA"/>
        </w:rPr>
        <w:t>“</w:t>
      </w:r>
      <w:r>
        <w:rPr>
          <w:rFonts w:ascii="Arial" w:hAnsi="Arial"/>
          <w:sz w:val="28"/>
          <w:szCs w:val="28"/>
        </w:rPr>
        <w:t xml:space="preserve">Three waves of </w:t>
      </w:r>
      <w:r>
        <w:rPr>
          <w:rFonts w:ascii="Arial" w:hAnsi="Arial"/>
          <w:sz w:val="28"/>
          <w:szCs w:val="28"/>
        </w:rPr>
        <w:t>convergence. Can Eurozone countries start growing together again?</w:t>
      </w:r>
      <w:r>
        <w:rPr>
          <w:rFonts w:ascii="Arial" w:hAnsi="Arial"/>
          <w:sz w:val="28"/>
          <w:szCs w:val="28"/>
        </w:rPr>
        <w:t>”</w:t>
      </w:r>
      <w:r>
        <w:rPr>
          <w:rFonts w:ascii="Arial" w:hAnsi="Arial"/>
          <w:sz w:val="28"/>
          <w:szCs w:val="28"/>
        </w:rPr>
        <w:t xml:space="preserve">, </w:t>
      </w:r>
      <w:r>
        <w:rPr>
          <w:rStyle w:val="Nessuno"/>
          <w:rFonts w:ascii="Arial" w:hAnsi="Arial"/>
          <w:i/>
          <w:iCs/>
          <w:sz w:val="28"/>
          <w:szCs w:val="28"/>
          <w:u w:val="single"/>
        </w:rPr>
        <w:t>https://voxeu.org/article/types-ez-convergence-nominal-real-and- structural</w:t>
      </w:r>
    </w:p>
    <w:p w14:paraId="617CAF64" w14:textId="77777777" w:rsidR="00846A3C" w:rsidRPr="00C777E5" w:rsidRDefault="000C5335">
      <w:pPr>
        <w:pStyle w:val="Corpo"/>
        <w:numPr>
          <w:ilvl w:val="0"/>
          <w:numId w:val="4"/>
        </w:numPr>
        <w:spacing w:line="360" w:lineRule="auto"/>
        <w:jc w:val="both"/>
        <w:rPr>
          <w:rFonts w:ascii="Arial" w:hAnsi="Arial"/>
          <w:sz w:val="28"/>
          <w:szCs w:val="28"/>
        </w:rPr>
      </w:pPr>
      <w:r w:rsidRPr="00C777E5">
        <w:rPr>
          <w:rFonts w:ascii="Arial" w:hAnsi="Arial"/>
          <w:sz w:val="28"/>
          <w:szCs w:val="28"/>
        </w:rPr>
        <w:t xml:space="preserve">A. Brandolini, A. Rosolia, </w:t>
      </w:r>
      <w:r>
        <w:rPr>
          <w:rFonts w:ascii="Arial" w:hAnsi="Arial"/>
          <w:sz w:val="28"/>
          <w:szCs w:val="28"/>
          <w:rtl/>
          <w:lang w:val="ar-SA"/>
        </w:rPr>
        <w:t>“</w:t>
      </w:r>
      <w:r>
        <w:rPr>
          <w:rFonts w:ascii="Arial" w:hAnsi="Arial"/>
          <w:sz w:val="28"/>
          <w:szCs w:val="28"/>
        </w:rPr>
        <w:t>The Distribution of Well-being among Europeans</w:t>
      </w:r>
      <w:r>
        <w:rPr>
          <w:rFonts w:ascii="Arial" w:hAnsi="Arial"/>
          <w:sz w:val="28"/>
          <w:szCs w:val="28"/>
        </w:rPr>
        <w:t>”</w:t>
      </w:r>
      <w:r>
        <w:rPr>
          <w:rFonts w:ascii="Arial" w:hAnsi="Arial"/>
          <w:sz w:val="28"/>
          <w:szCs w:val="28"/>
        </w:rPr>
        <w:t xml:space="preserve">, 2019, </w:t>
      </w:r>
      <w:r w:rsidRPr="00C777E5">
        <w:rPr>
          <w:rStyle w:val="Nessuno"/>
          <w:rFonts w:ascii="Arial" w:hAnsi="Arial"/>
          <w:i/>
          <w:iCs/>
          <w:sz w:val="28"/>
          <w:szCs w:val="28"/>
          <w:u w:val="single"/>
        </w:rPr>
        <w:t>https://www.bancaditalia.it/p</w:t>
      </w:r>
      <w:r w:rsidRPr="00C777E5">
        <w:rPr>
          <w:rStyle w:val="Nessuno"/>
          <w:rFonts w:ascii="Arial" w:hAnsi="Arial"/>
          <w:i/>
          <w:iCs/>
          <w:sz w:val="28"/>
          <w:szCs w:val="28"/>
          <w:u w:val="single"/>
        </w:rPr>
        <w:t>ubblicazioni/qef/2019- 0496/QEF_496_19.pdf</w:t>
      </w:r>
    </w:p>
    <w:p w14:paraId="07617921" w14:textId="77777777" w:rsidR="00846A3C" w:rsidRPr="00C777E5" w:rsidRDefault="000C5335">
      <w:pPr>
        <w:pStyle w:val="Corpo"/>
        <w:numPr>
          <w:ilvl w:val="0"/>
          <w:numId w:val="4"/>
        </w:numPr>
        <w:spacing w:line="360" w:lineRule="auto"/>
        <w:jc w:val="both"/>
        <w:rPr>
          <w:rFonts w:ascii="Arial" w:hAnsi="Arial"/>
          <w:sz w:val="28"/>
          <w:szCs w:val="28"/>
        </w:rPr>
      </w:pPr>
      <w:r w:rsidRPr="00C777E5">
        <w:rPr>
          <w:rFonts w:ascii="Arial" w:hAnsi="Arial"/>
          <w:sz w:val="28"/>
          <w:szCs w:val="28"/>
        </w:rPr>
        <w:t xml:space="preserve">S. Rossi, </w:t>
      </w:r>
      <w:r>
        <w:rPr>
          <w:rFonts w:ascii="Arial" w:hAnsi="Arial"/>
          <w:sz w:val="28"/>
          <w:szCs w:val="28"/>
          <w:rtl/>
          <w:lang w:val="ar-SA"/>
        </w:rPr>
        <w:t>“</w:t>
      </w:r>
      <w:r>
        <w:rPr>
          <w:rFonts w:ascii="Arial" w:hAnsi="Arial"/>
          <w:sz w:val="28"/>
          <w:szCs w:val="28"/>
        </w:rPr>
        <w:t xml:space="preserve">Finance for Growth: </w:t>
      </w:r>
      <w:proofErr w:type="gramStart"/>
      <w:r>
        <w:rPr>
          <w:rFonts w:ascii="Arial" w:hAnsi="Arial"/>
          <w:sz w:val="28"/>
          <w:szCs w:val="28"/>
        </w:rPr>
        <w:t>a</w:t>
      </w:r>
      <w:proofErr w:type="gramEnd"/>
      <w:r>
        <w:rPr>
          <w:rFonts w:ascii="Arial" w:hAnsi="Arial"/>
          <w:sz w:val="28"/>
          <w:szCs w:val="28"/>
        </w:rPr>
        <w:t xml:space="preserve"> Capital Markets Union</w:t>
      </w:r>
      <w:r>
        <w:rPr>
          <w:rFonts w:ascii="Arial" w:hAnsi="Arial"/>
          <w:sz w:val="28"/>
          <w:szCs w:val="28"/>
        </w:rPr>
        <w:t>”</w:t>
      </w:r>
      <w:r>
        <w:rPr>
          <w:rFonts w:ascii="Arial" w:hAnsi="Arial"/>
          <w:sz w:val="28"/>
          <w:szCs w:val="28"/>
        </w:rPr>
        <w:t xml:space="preserve">, 2015, </w:t>
      </w:r>
      <w:r w:rsidRPr="00C777E5">
        <w:rPr>
          <w:rStyle w:val="Nessuno"/>
          <w:rFonts w:ascii="Arial" w:hAnsi="Arial"/>
          <w:i/>
          <w:iCs/>
          <w:sz w:val="28"/>
          <w:szCs w:val="28"/>
          <w:u w:val="single"/>
        </w:rPr>
        <w:t>https://www.bancaditalia.it/pubblicazioni/interventi-direttorio/int-dir-2015/en-Rossi-111215.pdf?language_id=1</w:t>
      </w:r>
    </w:p>
    <w:p w14:paraId="4170ACBF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1A9FF959" w14:textId="77777777" w:rsidR="00846A3C" w:rsidRDefault="000C5335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sz w:val="28"/>
          <w:szCs w:val="28"/>
        </w:rPr>
      </w:pPr>
      <w:r>
        <w:rPr>
          <w:rStyle w:val="Nessuno"/>
          <w:rFonts w:ascii="Arial" w:hAnsi="Arial"/>
          <w:b/>
          <w:bCs/>
          <w:sz w:val="28"/>
          <w:szCs w:val="28"/>
        </w:rPr>
        <w:t>Seminar 5</w:t>
      </w:r>
      <w:r>
        <w:rPr>
          <w:rStyle w:val="Nessuno"/>
          <w:rFonts w:ascii="Arial" w:hAnsi="Arial"/>
          <w:sz w:val="28"/>
          <w:szCs w:val="28"/>
        </w:rPr>
        <w:t xml:space="preserve"> </w:t>
      </w:r>
    </w:p>
    <w:p w14:paraId="062D9CA2" w14:textId="77777777" w:rsidR="00846A3C" w:rsidRDefault="00846A3C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sz w:val="28"/>
          <w:szCs w:val="28"/>
        </w:rPr>
      </w:pPr>
    </w:p>
    <w:p w14:paraId="1EDEA967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lastRenderedPageBreak/>
        <w:t xml:space="preserve">         </w:t>
      </w:r>
      <w:r>
        <w:rPr>
          <w:rFonts w:ascii="Arial" w:hAnsi="Arial"/>
          <w:i/>
          <w:iCs/>
          <w:sz w:val="28"/>
          <w:szCs w:val="28"/>
        </w:rPr>
        <w:t xml:space="preserve">Topic: The </w:t>
      </w:r>
      <w:r>
        <w:rPr>
          <w:rFonts w:ascii="Arial" w:hAnsi="Arial"/>
          <w:i/>
          <w:iCs/>
          <w:sz w:val="28"/>
          <w:szCs w:val="28"/>
        </w:rPr>
        <w:t>global financial crisis and its consequences for Europe</w:t>
      </w:r>
    </w:p>
    <w:p w14:paraId="5F1590E2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</w:p>
    <w:p w14:paraId="59641E58" w14:textId="77777777" w:rsidR="00846A3C" w:rsidRDefault="000C5335">
      <w:pPr>
        <w:pStyle w:val="Corpo"/>
        <w:spacing w:line="360" w:lineRule="auto"/>
        <w:ind w:left="720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References: </w:t>
      </w:r>
    </w:p>
    <w:p w14:paraId="70ECF38D" w14:textId="77777777" w:rsidR="00846A3C" w:rsidRDefault="000C5335">
      <w:pPr>
        <w:pStyle w:val="Corpo"/>
        <w:numPr>
          <w:ilvl w:val="0"/>
          <w:numId w:val="3"/>
        </w:numPr>
        <w:spacing w:line="360" w:lineRule="auto"/>
        <w:jc w:val="both"/>
        <w:rPr>
          <w:rFonts w:ascii="Arial" w:hAnsi="Arial"/>
          <w:i/>
          <w:iCs/>
          <w:sz w:val="28"/>
          <w:szCs w:val="28"/>
          <w:lang w:val="nl-NL"/>
        </w:rPr>
      </w:pPr>
      <w:r>
        <w:rPr>
          <w:rStyle w:val="Nessuno"/>
          <w:rFonts w:ascii="Arial" w:hAnsi="Arial"/>
          <w:sz w:val="28"/>
          <w:szCs w:val="28"/>
          <w:lang w:val="nl-NL"/>
        </w:rPr>
        <w:t xml:space="preserve">R Baldwin, T. Huertas, T. Ogden, </w:t>
      </w:r>
      <w:r>
        <w:rPr>
          <w:rStyle w:val="Nessuno"/>
          <w:rFonts w:ascii="Arial" w:hAnsi="Arial"/>
          <w:sz w:val="28"/>
          <w:szCs w:val="28"/>
          <w:rtl/>
          <w:lang w:val="ar-SA"/>
        </w:rPr>
        <w:t>“</w:t>
      </w:r>
      <w:r>
        <w:rPr>
          <w:rStyle w:val="Nessuno"/>
          <w:rFonts w:ascii="Arial" w:hAnsi="Arial"/>
          <w:sz w:val="28"/>
          <w:szCs w:val="28"/>
        </w:rPr>
        <w:t>Ten Years after the Crisis: Looking Back, Looking Forward</w:t>
      </w:r>
      <w:r>
        <w:rPr>
          <w:rStyle w:val="Nessuno"/>
          <w:rFonts w:ascii="Arial" w:hAnsi="Arial"/>
          <w:sz w:val="28"/>
          <w:szCs w:val="28"/>
        </w:rPr>
        <w:t>”</w:t>
      </w:r>
      <w:r>
        <w:rPr>
          <w:rStyle w:val="Nessuno"/>
          <w:rFonts w:ascii="Arial" w:hAnsi="Arial"/>
          <w:sz w:val="28"/>
          <w:szCs w:val="28"/>
        </w:rPr>
        <w:t xml:space="preserve">, 2017, </w:t>
      </w:r>
      <w:hyperlink r:id="rId7" w:history="1">
        <w:r>
          <w:rPr>
            <w:rStyle w:val="Hyperlink0"/>
            <w:rFonts w:ascii="Arial" w:hAnsi="Arial"/>
            <w:i/>
            <w:iCs/>
            <w:sz w:val="28"/>
            <w:szCs w:val="28"/>
          </w:rPr>
          <w:t>https://voxeu.org/article/ten-years-after-crisis-looking-back-looking-forward</w:t>
        </w:r>
      </w:hyperlink>
    </w:p>
    <w:p w14:paraId="4D486367" w14:textId="77777777" w:rsidR="00846A3C" w:rsidRPr="00C777E5" w:rsidRDefault="000C5335">
      <w:pPr>
        <w:pStyle w:val="Corpo"/>
        <w:numPr>
          <w:ilvl w:val="0"/>
          <w:numId w:val="3"/>
        </w:numPr>
        <w:spacing w:line="360" w:lineRule="auto"/>
        <w:jc w:val="both"/>
        <w:rPr>
          <w:rFonts w:ascii="Arial" w:hAnsi="Arial"/>
          <w:i/>
          <w:iCs/>
          <w:sz w:val="28"/>
          <w:szCs w:val="28"/>
        </w:rPr>
      </w:pPr>
      <w:r w:rsidRPr="00C777E5">
        <w:rPr>
          <w:rStyle w:val="Nessuno"/>
          <w:rFonts w:ascii="Arial" w:hAnsi="Arial"/>
          <w:sz w:val="28"/>
          <w:szCs w:val="28"/>
        </w:rPr>
        <w:t xml:space="preserve">R. Baldwin, F. Giavazzi, </w:t>
      </w:r>
      <w:r>
        <w:rPr>
          <w:rStyle w:val="Nessuno"/>
          <w:rFonts w:ascii="Arial" w:hAnsi="Arial"/>
          <w:sz w:val="28"/>
          <w:szCs w:val="28"/>
          <w:rtl/>
          <w:lang w:val="ar-SA"/>
        </w:rPr>
        <w:t>“</w:t>
      </w:r>
      <w:r>
        <w:rPr>
          <w:rStyle w:val="Nessuno"/>
          <w:rFonts w:ascii="Arial" w:hAnsi="Arial"/>
          <w:sz w:val="28"/>
          <w:szCs w:val="28"/>
        </w:rPr>
        <w:t>The Eurozone Crisis: A Consensus View of</w:t>
      </w:r>
    </w:p>
    <w:p w14:paraId="6D1A57EF" w14:textId="77777777" w:rsidR="00846A3C" w:rsidRDefault="000C5335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i/>
          <w:iCs/>
          <w:sz w:val="28"/>
          <w:szCs w:val="28"/>
          <w:u w:val="single"/>
        </w:rPr>
      </w:pPr>
      <w:r>
        <w:rPr>
          <w:rStyle w:val="Nessuno"/>
          <w:rFonts w:ascii="Arial" w:hAnsi="Arial"/>
          <w:sz w:val="28"/>
          <w:szCs w:val="28"/>
        </w:rPr>
        <w:t>the Causes and a Few Possible Solutions</w:t>
      </w:r>
      <w:r>
        <w:rPr>
          <w:rStyle w:val="Nessuno"/>
          <w:rFonts w:ascii="Arial" w:hAnsi="Arial"/>
          <w:sz w:val="28"/>
          <w:szCs w:val="28"/>
        </w:rPr>
        <w:t>”</w:t>
      </w:r>
      <w:r>
        <w:rPr>
          <w:rStyle w:val="Nessuno"/>
          <w:rFonts w:ascii="Arial" w:hAnsi="Arial"/>
          <w:sz w:val="28"/>
          <w:szCs w:val="28"/>
        </w:rPr>
        <w:t xml:space="preserve">, 2015, </w:t>
      </w:r>
      <w:r>
        <w:rPr>
          <w:rStyle w:val="Nessuno"/>
          <w:rFonts w:ascii="Arial" w:hAnsi="Arial"/>
          <w:i/>
          <w:iCs/>
          <w:sz w:val="28"/>
          <w:szCs w:val="28"/>
          <w:u w:val="single"/>
        </w:rPr>
        <w:t>https://voxeu.org/article/eurozone-crisis-consensus-view-causes- and-few-possible-solutions</w:t>
      </w:r>
    </w:p>
    <w:p w14:paraId="26AC4CC9" w14:textId="77777777" w:rsidR="00846A3C" w:rsidRDefault="000C5335">
      <w:pPr>
        <w:pStyle w:val="Corpo"/>
        <w:numPr>
          <w:ilvl w:val="0"/>
          <w:numId w:val="3"/>
        </w:numPr>
        <w:spacing w:line="360" w:lineRule="auto"/>
        <w:jc w:val="both"/>
        <w:rPr>
          <w:rFonts w:ascii="Arial" w:hAnsi="Arial"/>
          <w:i/>
          <w:iCs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t xml:space="preserve">F. </w:t>
      </w:r>
      <w:proofErr w:type="spellStart"/>
      <w:r>
        <w:rPr>
          <w:rStyle w:val="Nessuno"/>
          <w:rFonts w:ascii="Arial" w:hAnsi="Arial"/>
          <w:sz w:val="28"/>
          <w:szCs w:val="28"/>
        </w:rPr>
        <w:t>Balassone</w:t>
      </w:r>
      <w:proofErr w:type="spellEnd"/>
      <w:r>
        <w:rPr>
          <w:rStyle w:val="Nessuno"/>
          <w:rFonts w:ascii="Arial" w:hAnsi="Arial"/>
          <w:sz w:val="28"/>
          <w:szCs w:val="28"/>
        </w:rPr>
        <w:t xml:space="preserve"> et al., </w:t>
      </w:r>
      <w:r>
        <w:rPr>
          <w:rStyle w:val="Nessuno"/>
          <w:rFonts w:ascii="Arial" w:hAnsi="Arial"/>
          <w:sz w:val="28"/>
          <w:szCs w:val="28"/>
          <w:rtl/>
          <w:lang w:val="ar-SA"/>
        </w:rPr>
        <w:t>“</w:t>
      </w:r>
      <w:r>
        <w:rPr>
          <w:rStyle w:val="Nessuno"/>
          <w:rFonts w:ascii="Arial" w:hAnsi="Arial"/>
          <w:sz w:val="28"/>
          <w:szCs w:val="28"/>
        </w:rPr>
        <w:t>Economic governance in the euro area: balancing risk reduction and risk sharing</w:t>
      </w:r>
      <w:r>
        <w:rPr>
          <w:rStyle w:val="Nessuno"/>
          <w:rFonts w:ascii="Arial" w:hAnsi="Arial"/>
          <w:sz w:val="28"/>
          <w:szCs w:val="28"/>
        </w:rPr>
        <w:t>”</w:t>
      </w:r>
      <w:r>
        <w:rPr>
          <w:rStyle w:val="Nessuno"/>
          <w:rFonts w:ascii="Arial" w:hAnsi="Arial"/>
          <w:sz w:val="28"/>
          <w:szCs w:val="28"/>
        </w:rPr>
        <w:t xml:space="preserve">, 2016, </w:t>
      </w:r>
      <w:r w:rsidRPr="00C777E5">
        <w:rPr>
          <w:rStyle w:val="Nessuno"/>
          <w:rFonts w:ascii="Arial" w:hAnsi="Arial"/>
          <w:i/>
          <w:iCs/>
          <w:sz w:val="28"/>
          <w:szCs w:val="28"/>
          <w:u w:val="single"/>
        </w:rPr>
        <w:t>https://www.bancaditalia.it/pubblicazioni/qef/2016- 03</w:t>
      </w:r>
      <w:r w:rsidRPr="00C777E5">
        <w:rPr>
          <w:rStyle w:val="Nessuno"/>
          <w:rFonts w:ascii="Arial" w:hAnsi="Arial"/>
          <w:i/>
          <w:iCs/>
          <w:sz w:val="28"/>
          <w:szCs w:val="28"/>
          <w:u w:val="single"/>
        </w:rPr>
        <w:t>44/QEF_344_16.pdf?language_id=1</w:t>
      </w:r>
    </w:p>
    <w:p w14:paraId="3B0A704B" w14:textId="77777777" w:rsidR="00846A3C" w:rsidRDefault="00846A3C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sz w:val="28"/>
          <w:szCs w:val="28"/>
        </w:rPr>
      </w:pPr>
    </w:p>
    <w:p w14:paraId="1A82CCB5" w14:textId="77777777" w:rsidR="00846A3C" w:rsidRDefault="000C5335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Seminar 6</w:t>
      </w:r>
    </w:p>
    <w:p w14:paraId="26F3FEF7" w14:textId="77777777" w:rsidR="00846A3C" w:rsidRDefault="00846A3C">
      <w:pPr>
        <w:pStyle w:val="Corpo"/>
        <w:spacing w:line="360" w:lineRule="auto"/>
        <w:jc w:val="both"/>
        <w:rPr>
          <w:rStyle w:val="Nessuno"/>
          <w:rFonts w:ascii="Arial" w:eastAsia="Arial" w:hAnsi="Arial" w:cs="Arial"/>
          <w:sz w:val="28"/>
          <w:szCs w:val="28"/>
        </w:rPr>
      </w:pPr>
    </w:p>
    <w:p w14:paraId="798920F2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t xml:space="preserve">       </w:t>
      </w:r>
      <w:r>
        <w:rPr>
          <w:rFonts w:ascii="Arial" w:hAnsi="Arial"/>
          <w:i/>
          <w:iCs/>
          <w:sz w:val="28"/>
          <w:szCs w:val="28"/>
        </w:rPr>
        <w:t>Topic: Monetary policy in the euro area from the global financial crisis to the coronavirus pandemics and beyond</w:t>
      </w:r>
    </w:p>
    <w:p w14:paraId="1CC1CE3D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</w:p>
    <w:p w14:paraId="5211CA68" w14:textId="77777777" w:rsidR="00846A3C" w:rsidRDefault="000C5335">
      <w:pPr>
        <w:pStyle w:val="Corpo"/>
        <w:spacing w:line="360" w:lineRule="auto"/>
        <w:jc w:val="both"/>
        <w:rPr>
          <w:rFonts w:ascii="Arial" w:eastAsia="Arial" w:hAnsi="Arial" w:cs="Arial"/>
          <w:i/>
          <w:iCs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 xml:space="preserve">         References:</w:t>
      </w:r>
    </w:p>
    <w:p w14:paraId="0F8EE63B" w14:textId="77777777" w:rsidR="00846A3C" w:rsidRDefault="000C5335">
      <w:pPr>
        <w:pStyle w:val="Corpo"/>
        <w:numPr>
          <w:ilvl w:val="0"/>
          <w:numId w:val="4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t xml:space="preserve">M. Draghi, </w:t>
      </w:r>
      <w:r>
        <w:rPr>
          <w:rStyle w:val="Nessuno"/>
          <w:rFonts w:ascii="Arial" w:hAnsi="Arial"/>
          <w:sz w:val="28"/>
          <w:szCs w:val="28"/>
          <w:rtl/>
          <w:lang w:val="ar-SA"/>
        </w:rPr>
        <w:t>“</w:t>
      </w:r>
      <w:r>
        <w:rPr>
          <w:rStyle w:val="Nessuno"/>
          <w:rFonts w:ascii="Arial" w:hAnsi="Arial"/>
          <w:sz w:val="28"/>
          <w:szCs w:val="28"/>
        </w:rPr>
        <w:t>Twenty Years of the ECB</w:t>
      </w:r>
      <w:r>
        <w:rPr>
          <w:rStyle w:val="Nessuno"/>
          <w:rFonts w:ascii="Arial" w:hAnsi="Arial"/>
          <w:sz w:val="28"/>
          <w:szCs w:val="28"/>
          <w:rtl/>
        </w:rPr>
        <w:t>’</w:t>
      </w:r>
      <w:r>
        <w:rPr>
          <w:rStyle w:val="Nessuno"/>
          <w:rFonts w:ascii="Arial" w:hAnsi="Arial"/>
          <w:sz w:val="28"/>
          <w:szCs w:val="28"/>
        </w:rPr>
        <w:t xml:space="preserve">s Monetary Policy, 2019, </w:t>
      </w:r>
      <w:r>
        <w:rPr>
          <w:rStyle w:val="Nessuno"/>
          <w:rFonts w:ascii="Arial" w:hAnsi="Arial"/>
          <w:i/>
          <w:iCs/>
          <w:sz w:val="28"/>
          <w:szCs w:val="28"/>
          <w:u w:val="single"/>
        </w:rPr>
        <w:t>https://www.ecb.europa.eu/press/key/date/2019/html/ecb.sp1906 18~ec4cd2443b.en.html</w:t>
      </w:r>
    </w:p>
    <w:p w14:paraId="78230EDE" w14:textId="77777777" w:rsidR="00846A3C" w:rsidRDefault="000C5335">
      <w:pPr>
        <w:pStyle w:val="Corpo"/>
        <w:numPr>
          <w:ilvl w:val="0"/>
          <w:numId w:val="4"/>
        </w:numPr>
        <w:spacing w:line="360" w:lineRule="auto"/>
        <w:jc w:val="both"/>
        <w:rPr>
          <w:rFonts w:ascii="Arial" w:hAnsi="Arial"/>
          <w:sz w:val="28"/>
          <w:szCs w:val="28"/>
        </w:rPr>
      </w:pPr>
      <w:r>
        <w:rPr>
          <w:rStyle w:val="Nessuno"/>
          <w:rFonts w:ascii="Arial" w:hAnsi="Arial"/>
          <w:sz w:val="28"/>
          <w:szCs w:val="28"/>
        </w:rPr>
        <w:t xml:space="preserve">S. Rossi, </w:t>
      </w:r>
      <w:r>
        <w:rPr>
          <w:rStyle w:val="Nessuno"/>
          <w:rFonts w:ascii="Arial" w:hAnsi="Arial"/>
          <w:sz w:val="28"/>
          <w:szCs w:val="28"/>
        </w:rPr>
        <w:t>“</w:t>
      </w:r>
      <w:r>
        <w:rPr>
          <w:rStyle w:val="Nessuno"/>
          <w:rFonts w:ascii="Arial" w:hAnsi="Arial"/>
          <w:sz w:val="28"/>
          <w:szCs w:val="28"/>
        </w:rPr>
        <w:t>The great lockdown</w:t>
      </w:r>
      <w:r>
        <w:rPr>
          <w:rStyle w:val="Nessuno"/>
          <w:rFonts w:ascii="Arial" w:hAnsi="Arial"/>
          <w:sz w:val="28"/>
          <w:szCs w:val="28"/>
        </w:rPr>
        <w:t>”</w:t>
      </w:r>
      <w:r>
        <w:rPr>
          <w:rStyle w:val="Nessuno"/>
          <w:rFonts w:ascii="Arial" w:hAnsi="Arial"/>
          <w:sz w:val="28"/>
          <w:szCs w:val="28"/>
        </w:rPr>
        <w:t>, Longitude, no. 104, 2020.</w:t>
      </w:r>
    </w:p>
    <w:p w14:paraId="73FE45A5" w14:textId="77777777" w:rsidR="00846A3C" w:rsidRDefault="00846A3C">
      <w:pPr>
        <w:pStyle w:val="Corpo"/>
        <w:spacing w:line="360" w:lineRule="auto"/>
        <w:jc w:val="both"/>
        <w:rPr>
          <w:rFonts w:ascii="Arial" w:eastAsia="Arial" w:hAnsi="Arial" w:cs="Arial"/>
          <w:sz w:val="28"/>
          <w:szCs w:val="28"/>
        </w:rPr>
      </w:pPr>
    </w:p>
    <w:p w14:paraId="7CC2B377" w14:textId="77777777" w:rsidR="00846A3C" w:rsidRDefault="00846A3C">
      <w:pPr>
        <w:pStyle w:val="Corpo"/>
        <w:spacing w:line="360" w:lineRule="auto"/>
        <w:jc w:val="both"/>
      </w:pPr>
    </w:p>
    <w:sectPr w:rsidR="00846A3C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C347F" w14:textId="77777777" w:rsidR="000C5335" w:rsidRDefault="000C5335">
      <w:r>
        <w:separator/>
      </w:r>
    </w:p>
  </w:endnote>
  <w:endnote w:type="continuationSeparator" w:id="0">
    <w:p w14:paraId="0F11081C" w14:textId="77777777" w:rsidR="000C5335" w:rsidRDefault="000C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622413" w14:textId="77777777" w:rsidR="00846A3C" w:rsidRDefault="00846A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20FF76" w14:textId="77777777" w:rsidR="000C5335" w:rsidRDefault="000C5335">
      <w:r>
        <w:separator/>
      </w:r>
    </w:p>
  </w:footnote>
  <w:footnote w:type="continuationSeparator" w:id="0">
    <w:p w14:paraId="7280038C" w14:textId="77777777" w:rsidR="000C5335" w:rsidRDefault="000C5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D819A" w14:textId="77777777" w:rsidR="00846A3C" w:rsidRDefault="00846A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478F9"/>
    <w:multiLevelType w:val="hybridMultilevel"/>
    <w:tmpl w:val="8E7803D4"/>
    <w:numStyleLink w:val="Trattino"/>
  </w:abstractNum>
  <w:abstractNum w:abstractNumId="1" w15:restartNumberingAfterBreak="0">
    <w:nsid w:val="5E163E50"/>
    <w:multiLevelType w:val="hybridMultilevel"/>
    <w:tmpl w:val="8E7803D4"/>
    <w:styleLink w:val="Trattino"/>
    <w:lvl w:ilvl="0" w:tplc="2B9EC01E">
      <w:start w:val="1"/>
      <w:numFmt w:val="bullet"/>
      <w:lvlText w:val="-"/>
      <w:lvlJc w:val="left"/>
      <w:pPr>
        <w:ind w:left="30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1" w:tplc="BE1A9ED4">
      <w:start w:val="1"/>
      <w:numFmt w:val="bullet"/>
      <w:lvlText w:val="-"/>
      <w:lvlJc w:val="left"/>
      <w:pPr>
        <w:ind w:left="54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2" w:tplc="CD00222E">
      <w:start w:val="1"/>
      <w:numFmt w:val="bullet"/>
      <w:lvlText w:val="-"/>
      <w:lvlJc w:val="left"/>
      <w:pPr>
        <w:ind w:left="78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3" w:tplc="885A8538">
      <w:start w:val="1"/>
      <w:numFmt w:val="bullet"/>
      <w:lvlText w:val="-"/>
      <w:lvlJc w:val="left"/>
      <w:pPr>
        <w:ind w:left="102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4" w:tplc="25547198">
      <w:start w:val="1"/>
      <w:numFmt w:val="bullet"/>
      <w:lvlText w:val="-"/>
      <w:lvlJc w:val="left"/>
      <w:pPr>
        <w:ind w:left="126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5" w:tplc="34142CAC">
      <w:start w:val="1"/>
      <w:numFmt w:val="bullet"/>
      <w:lvlText w:val="-"/>
      <w:lvlJc w:val="left"/>
      <w:pPr>
        <w:ind w:left="150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6" w:tplc="1DB02FD2">
      <w:start w:val="1"/>
      <w:numFmt w:val="bullet"/>
      <w:lvlText w:val="-"/>
      <w:lvlJc w:val="left"/>
      <w:pPr>
        <w:ind w:left="174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7" w:tplc="0CD81ECC">
      <w:start w:val="1"/>
      <w:numFmt w:val="bullet"/>
      <w:lvlText w:val="-"/>
      <w:lvlJc w:val="left"/>
      <w:pPr>
        <w:ind w:left="198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  <w:lvl w:ilvl="8" w:tplc="BA7E1CBC">
      <w:start w:val="1"/>
      <w:numFmt w:val="bullet"/>
      <w:lvlText w:val="-"/>
      <w:lvlJc w:val="left"/>
      <w:pPr>
        <w:ind w:left="2225" w:hanging="30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34"/>
        <w:szCs w:val="3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5818F090">
        <w:start w:val="1"/>
        <w:numFmt w:val="bullet"/>
        <w:lvlText w:val="-"/>
        <w:lvlJc w:val="left"/>
        <w:pPr>
          <w:ind w:left="305" w:hanging="3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63FAF042">
        <w:start w:val="1"/>
        <w:numFmt w:val="bullet"/>
        <w:lvlText w:val="-"/>
        <w:lvlJc w:val="left"/>
        <w:pPr>
          <w:ind w:left="545" w:hanging="3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C67E81AC">
        <w:start w:val="1"/>
        <w:numFmt w:val="bullet"/>
        <w:lvlText w:val="-"/>
        <w:lvlJc w:val="left"/>
        <w:pPr>
          <w:ind w:left="785" w:hanging="3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4AFAD70C">
        <w:start w:val="1"/>
        <w:numFmt w:val="bullet"/>
        <w:lvlText w:val="-"/>
        <w:lvlJc w:val="left"/>
        <w:pPr>
          <w:ind w:left="1025" w:hanging="3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9202F490">
        <w:start w:val="1"/>
        <w:numFmt w:val="bullet"/>
        <w:lvlText w:val="-"/>
        <w:lvlJc w:val="left"/>
        <w:pPr>
          <w:ind w:left="1265" w:hanging="3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CEC61282">
        <w:start w:val="1"/>
        <w:numFmt w:val="bullet"/>
        <w:lvlText w:val="-"/>
        <w:lvlJc w:val="left"/>
        <w:pPr>
          <w:ind w:left="1505" w:hanging="3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5092448A">
        <w:start w:val="1"/>
        <w:numFmt w:val="bullet"/>
        <w:lvlText w:val="-"/>
        <w:lvlJc w:val="left"/>
        <w:pPr>
          <w:ind w:left="1745" w:hanging="3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C5E45E82">
        <w:start w:val="1"/>
        <w:numFmt w:val="bullet"/>
        <w:lvlText w:val="-"/>
        <w:lvlJc w:val="left"/>
        <w:pPr>
          <w:ind w:left="1985" w:hanging="3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16E6E904">
        <w:start w:val="1"/>
        <w:numFmt w:val="bullet"/>
        <w:lvlText w:val="-"/>
        <w:lvlJc w:val="left"/>
        <w:pPr>
          <w:ind w:left="2225" w:hanging="305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  <w:num w:numId="4">
    <w:abstractNumId w:val="0"/>
    <w:lvlOverride w:ilvl="0">
      <w:lvl w:ilvl="0" w:tplc="5818F090">
        <w:start w:val="1"/>
        <w:numFmt w:val="bullet"/>
        <w:lvlText w:val="-"/>
        <w:lvlJc w:val="left"/>
        <w:pPr>
          <w:ind w:left="3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1">
      <w:lvl w:ilvl="1" w:tplc="63FAF042">
        <w:start w:val="1"/>
        <w:numFmt w:val="bullet"/>
        <w:lvlText w:val="-"/>
        <w:lvlJc w:val="left"/>
        <w:pPr>
          <w:ind w:left="5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2">
      <w:lvl w:ilvl="2" w:tplc="C67E81AC">
        <w:start w:val="1"/>
        <w:numFmt w:val="bullet"/>
        <w:lvlText w:val="-"/>
        <w:lvlJc w:val="left"/>
        <w:pPr>
          <w:ind w:left="7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3">
      <w:lvl w:ilvl="3" w:tplc="4AFAD70C">
        <w:start w:val="1"/>
        <w:numFmt w:val="bullet"/>
        <w:lvlText w:val="-"/>
        <w:lvlJc w:val="left"/>
        <w:pPr>
          <w:ind w:left="10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4">
      <w:lvl w:ilvl="4" w:tplc="9202F490">
        <w:start w:val="1"/>
        <w:numFmt w:val="bullet"/>
        <w:lvlText w:val="-"/>
        <w:lvlJc w:val="left"/>
        <w:pPr>
          <w:ind w:left="126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5">
      <w:lvl w:ilvl="5" w:tplc="CEC61282">
        <w:start w:val="1"/>
        <w:numFmt w:val="bullet"/>
        <w:lvlText w:val="-"/>
        <w:lvlJc w:val="left"/>
        <w:pPr>
          <w:ind w:left="150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6">
      <w:lvl w:ilvl="6" w:tplc="5092448A">
        <w:start w:val="1"/>
        <w:numFmt w:val="bullet"/>
        <w:lvlText w:val="-"/>
        <w:lvlJc w:val="left"/>
        <w:pPr>
          <w:ind w:left="174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7">
      <w:lvl w:ilvl="7" w:tplc="C5E45E82">
        <w:start w:val="1"/>
        <w:numFmt w:val="bullet"/>
        <w:lvlText w:val="-"/>
        <w:lvlJc w:val="left"/>
        <w:pPr>
          <w:ind w:left="198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  <w:lvlOverride w:ilvl="8">
      <w:lvl w:ilvl="8" w:tplc="16E6E904">
        <w:start w:val="1"/>
        <w:numFmt w:val="bullet"/>
        <w:lvlText w:val="-"/>
        <w:lvlJc w:val="left"/>
        <w:pPr>
          <w:ind w:left="2225" w:hanging="3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34"/>
          <w:szCs w:val="34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3C"/>
    <w:rsid w:val="000C5335"/>
    <w:rsid w:val="00846A3C"/>
    <w:rsid w:val="00C7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EA94C"/>
  <w15:docId w15:val="{F13FCDCE-55EF-4BB6-8D22-02DA285D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  <w:rPr>
      <w:lang w:val="en-US"/>
    </w:rPr>
  </w:style>
  <w:style w:type="numbering" w:customStyle="1" w:styleId="Trattino">
    <w:name w:val="Trattino"/>
    <w:pPr>
      <w:numPr>
        <w:numId w:val="1"/>
      </w:numPr>
    </w:pPr>
  </w:style>
  <w:style w:type="character" w:customStyle="1" w:styleId="Hyperlink0">
    <w:name w:val="Hyperlink.0"/>
    <w:basedOn w:val="Collegamentoipertestual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oxeu.org/article/ten-years-after-crisis-looking-back-looking-forw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Meliciani</dc:creator>
  <cp:lastModifiedBy>valentina Meliciani</cp:lastModifiedBy>
  <cp:revision>2</cp:revision>
  <dcterms:created xsi:type="dcterms:W3CDTF">2020-08-17T17:52:00Z</dcterms:created>
  <dcterms:modified xsi:type="dcterms:W3CDTF">2020-08-17T17:52:00Z</dcterms:modified>
</cp:coreProperties>
</file>